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szCs w:val="36"/>
        </w:rPr>
      </w:pPr>
      <w:r>
        <w:rPr>
          <w:rFonts w:hint="eastAsia" w:ascii="仿宋" w:hAnsi="仿宋" w:eastAsia="仿宋"/>
          <w:sz w:val="36"/>
          <w:szCs w:val="36"/>
        </w:rPr>
        <w:t>中国人民政治协商会议淄博市委员会</w:t>
      </w:r>
    </w:p>
    <w:p>
      <w:pPr>
        <w:rPr>
          <w:rFonts w:ascii="仿宋" w:hAnsi="仿宋" w:eastAsia="仿宋"/>
          <w:sz w:val="84"/>
          <w:szCs w:val="84"/>
        </w:rPr>
      </w:pPr>
      <w:r>
        <w:rPr>
          <w:rFonts w:hint="eastAsia" w:ascii="仿宋" w:hAnsi="仿宋" w:eastAsia="仿宋"/>
          <w:sz w:val="84"/>
          <w:szCs w:val="84"/>
        </w:rPr>
        <w:t xml:space="preserve">      提    案</w:t>
      </w:r>
      <w:bookmarkStart w:id="9" w:name="_GoBack"/>
      <w:bookmarkEnd w:id="9"/>
    </w:p>
    <w:p>
      <w:pPr>
        <w:jc w:val="center"/>
        <w:rPr>
          <w:rFonts w:ascii="仿宋" w:hAnsi="仿宋" w:eastAsia="仿宋"/>
          <w:sz w:val="28"/>
          <w:szCs w:val="28"/>
        </w:rPr>
      </w:pPr>
      <w:bookmarkStart w:id="0" w:name="jiebie"/>
      <w:r>
        <w:rPr>
          <w:rFonts w:hint="eastAsia" w:ascii="仿宋" w:hAnsi="仿宋" w:eastAsia="仿宋"/>
          <w:sz w:val="28"/>
          <w:szCs w:val="28"/>
          <w:lang w:eastAsia="zh-CN"/>
        </w:rPr>
        <w:t>十二</w:t>
      </w:r>
      <w:bookmarkEnd w:id="0"/>
      <w:r>
        <w:rPr>
          <w:rFonts w:hint="eastAsia" w:ascii="仿宋" w:hAnsi="仿宋" w:eastAsia="仿宋"/>
          <w:sz w:val="28"/>
          <w:szCs w:val="28"/>
        </w:rPr>
        <w:t>届</w:t>
      </w:r>
      <w:bookmarkStart w:id="1" w:name="cibie"/>
      <w:r>
        <w:rPr>
          <w:rFonts w:hint="eastAsia" w:ascii="仿宋" w:hAnsi="仿宋" w:eastAsia="仿宋"/>
          <w:sz w:val="28"/>
          <w:szCs w:val="28"/>
          <w:lang w:eastAsia="zh-CN"/>
        </w:rPr>
        <w:t>四</w:t>
      </w:r>
      <w:bookmarkEnd w:id="1"/>
      <w:r>
        <w:rPr>
          <w:rFonts w:hint="eastAsia" w:ascii="仿宋" w:hAnsi="仿宋" w:eastAsia="仿宋"/>
          <w:sz w:val="28"/>
          <w:szCs w:val="28"/>
        </w:rPr>
        <w:t>次第</w:t>
      </w:r>
      <w:bookmarkStart w:id="2" w:name="proposalNum"/>
      <w:r>
        <w:rPr>
          <w:rFonts w:hint="eastAsia" w:ascii="仿宋" w:hAnsi="仿宋" w:eastAsia="仿宋"/>
          <w:sz w:val="28"/>
          <w:szCs w:val="28"/>
          <w:lang w:eastAsia="zh-CN"/>
        </w:rPr>
        <w:t>1204146</w:t>
      </w:r>
      <w:bookmarkEnd w:id="2"/>
      <w:r>
        <w:rPr>
          <w:rFonts w:hint="eastAsia" w:ascii="仿宋" w:hAnsi="仿宋" w:eastAsia="仿宋"/>
          <w:sz w:val="28"/>
          <w:szCs w:val="28"/>
        </w:rPr>
        <w:t>号</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526" w:type="dxa"/>
            <w:noWrap w:val="0"/>
            <w:vAlign w:val="top"/>
          </w:tcPr>
          <w:p>
            <w:pPr>
              <w:rPr>
                <w:rFonts w:ascii="仿宋" w:hAnsi="仿宋" w:eastAsia="仿宋"/>
                <w:b/>
                <w:sz w:val="28"/>
                <w:szCs w:val="28"/>
              </w:rPr>
            </w:pPr>
            <w:r>
              <w:rPr>
                <w:rFonts w:hint="eastAsia" w:ascii="仿宋" w:hAnsi="仿宋" w:eastAsia="仿宋"/>
                <w:b/>
                <w:sz w:val="28"/>
                <w:szCs w:val="28"/>
              </w:rPr>
              <w:t>提案案由</w:t>
            </w:r>
          </w:p>
        </w:tc>
        <w:tc>
          <w:tcPr>
            <w:tcW w:w="6996" w:type="dxa"/>
            <w:noWrap w:val="0"/>
            <w:vAlign w:val="top"/>
          </w:tcPr>
          <w:p>
            <w:pPr>
              <w:jc w:val="center"/>
              <w:rPr>
                <w:rFonts w:hint="eastAsia" w:ascii="仿宋" w:hAnsi="仿宋" w:eastAsia="仿宋"/>
                <w:sz w:val="28"/>
                <w:szCs w:val="28"/>
                <w:lang w:eastAsia="zh-CN"/>
              </w:rPr>
            </w:pPr>
            <w:bookmarkStart w:id="3" w:name="title"/>
            <w:r>
              <w:rPr>
                <w:rFonts w:hint="eastAsia" w:ascii="仿宋" w:hAnsi="仿宋" w:eastAsia="仿宋"/>
                <w:sz w:val="28"/>
                <w:szCs w:val="28"/>
                <w:lang w:eastAsia="zh-CN"/>
              </w:rPr>
              <w:t>关于对采用腹膜透析患者节省下的医保费用按比例进行奖励的提案</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526" w:type="dxa"/>
            <w:noWrap w:val="0"/>
            <w:vAlign w:val="top"/>
          </w:tcPr>
          <w:p>
            <w:pPr>
              <w:jc w:val="center"/>
              <w:rPr>
                <w:rFonts w:ascii="仿宋" w:hAnsi="仿宋" w:eastAsia="仿宋"/>
                <w:b/>
                <w:sz w:val="28"/>
                <w:szCs w:val="28"/>
              </w:rPr>
            </w:pPr>
            <w:r>
              <w:rPr>
                <w:rFonts w:hint="eastAsia" w:ascii="仿宋" w:hAnsi="仿宋" w:eastAsia="仿宋"/>
                <w:b/>
                <w:sz w:val="28"/>
                <w:szCs w:val="28"/>
              </w:rPr>
              <w:t>审查意见</w:t>
            </w:r>
          </w:p>
        </w:tc>
        <w:tc>
          <w:tcPr>
            <w:tcW w:w="6996" w:type="dxa"/>
            <w:noWrap w:val="0"/>
            <w:vAlign w:val="top"/>
          </w:tcPr>
          <w:p>
            <w:pPr>
              <w:jc w:val="center"/>
              <w:rPr>
                <w:rFonts w:hint="eastAsia" w:ascii="仿宋" w:hAnsi="仿宋" w:eastAsia="仿宋"/>
                <w:sz w:val="28"/>
                <w:szCs w:val="28"/>
                <w:lang w:eastAsia="zh-CN"/>
              </w:rPr>
            </w:pPr>
            <w:bookmarkStart w:id="4" w:name="opinion"/>
            <w:r>
              <w:rPr>
                <w:rFonts w:hint="eastAsia" w:ascii="仿宋" w:hAnsi="仿宋" w:eastAsia="仿宋"/>
                <w:sz w:val="28"/>
                <w:szCs w:val="28"/>
                <w:lang w:eastAsia="zh-CN"/>
              </w:rPr>
              <w:t>请市医疗保障局研究办理</w:t>
            </w:r>
            <w:bookmarkEnd w:id="4"/>
          </w:p>
        </w:tc>
      </w:tr>
    </w:tbl>
    <w:p>
      <w:pPr>
        <w:jc w:val="center"/>
        <w:rPr>
          <w:rFonts w:ascii="仿宋" w:hAnsi="仿宋" w:eastAsia="仿宋"/>
          <w:sz w:val="28"/>
          <w:szCs w:val="28"/>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jc w:val="center"/>
              <w:rPr>
                <w:rFonts w:ascii="仿宋" w:hAnsi="仿宋" w:eastAsia="仿宋"/>
                <w:b/>
                <w:sz w:val="28"/>
                <w:szCs w:val="28"/>
              </w:rPr>
            </w:pPr>
            <w:r>
              <w:rPr>
                <w:rFonts w:hint="eastAsia" w:ascii="仿宋" w:hAnsi="仿宋" w:eastAsia="仿宋"/>
                <w:b/>
                <w:sz w:val="28"/>
                <w:szCs w:val="28"/>
              </w:rPr>
              <w:t>第一提案者</w:t>
            </w:r>
          </w:p>
        </w:tc>
        <w:tc>
          <w:tcPr>
            <w:tcW w:w="2130" w:type="dxa"/>
            <w:noWrap w:val="0"/>
            <w:vAlign w:val="top"/>
          </w:tcPr>
          <w:p>
            <w:pPr>
              <w:jc w:val="center"/>
              <w:rPr>
                <w:rFonts w:hint="eastAsia" w:ascii="仿宋" w:hAnsi="仿宋" w:eastAsia="仿宋"/>
                <w:sz w:val="28"/>
                <w:szCs w:val="28"/>
                <w:lang w:eastAsia="zh-CN"/>
              </w:rPr>
            </w:pPr>
            <w:bookmarkStart w:id="5" w:name="tianName"/>
            <w:r>
              <w:rPr>
                <w:rFonts w:hint="eastAsia" w:ascii="仿宋" w:hAnsi="仿宋" w:eastAsia="仿宋"/>
                <w:sz w:val="28"/>
                <w:szCs w:val="28"/>
                <w:lang w:eastAsia="zh-CN"/>
              </w:rPr>
              <w:t>刘青</w:t>
            </w:r>
            <w:bookmarkEnd w:id="5"/>
          </w:p>
        </w:tc>
        <w:tc>
          <w:tcPr>
            <w:tcW w:w="2131" w:type="dxa"/>
            <w:noWrap w:val="0"/>
            <w:vAlign w:val="top"/>
          </w:tcPr>
          <w:p>
            <w:pPr>
              <w:jc w:val="center"/>
              <w:rPr>
                <w:rFonts w:ascii="仿宋" w:hAnsi="仿宋" w:eastAsia="仿宋"/>
                <w:b/>
                <w:sz w:val="28"/>
                <w:szCs w:val="28"/>
              </w:rPr>
            </w:pPr>
            <w:r>
              <w:rPr>
                <w:rFonts w:hint="eastAsia" w:ascii="仿宋" w:hAnsi="仿宋" w:eastAsia="仿宋"/>
                <w:b/>
                <w:sz w:val="28"/>
                <w:szCs w:val="28"/>
              </w:rPr>
              <w:t>联名人数</w:t>
            </w:r>
          </w:p>
        </w:tc>
        <w:tc>
          <w:tcPr>
            <w:tcW w:w="2131" w:type="dxa"/>
            <w:noWrap w:val="0"/>
            <w:vAlign w:val="top"/>
          </w:tcPr>
          <w:p>
            <w:pPr>
              <w:jc w:val="center"/>
              <w:rPr>
                <w:rFonts w:ascii="仿宋" w:hAnsi="仿宋" w:eastAsia="仿宋"/>
                <w:sz w:val="28"/>
                <w:szCs w:val="28"/>
              </w:rPr>
            </w:pPr>
            <w:bookmarkStart w:id="6" w:name="joinPeopleNum"/>
            <w:bookmarkEnd w:id="6"/>
          </w:p>
        </w:tc>
      </w:tr>
    </w:tbl>
    <w:p>
      <w:pPr>
        <w:jc w:val="center"/>
        <w:rPr>
          <w:rFonts w:ascii="仿宋" w:hAnsi="仿宋" w:eastAsia="仿宋"/>
          <w:sz w:val="28"/>
          <w:szCs w:val="28"/>
        </w:rPr>
      </w:pPr>
    </w:p>
    <w:p>
      <w:pPr>
        <w:rPr>
          <w:rFonts w:ascii="黑体" w:hAnsi="黑体" w:eastAsia="黑体" w:cs="黑体"/>
          <w:sz w:val="32"/>
          <w:szCs w:val="32"/>
        </w:rPr>
      </w:pPr>
      <w:r>
        <w:rPr>
          <w:rFonts w:hint="eastAsia" w:ascii="黑体" w:hAnsi="黑体" w:eastAsia="黑体" w:cs="黑体"/>
          <w:sz w:val="32"/>
          <w:szCs w:val="32"/>
        </w:rPr>
        <w:t>背景及问题分析</w:t>
      </w:r>
    </w:p>
    <w:p>
      <w:pPr>
        <w:rPr>
          <w:rFonts w:hint="eastAsia" w:ascii="仿宋" w:hAnsi="仿宋" w:eastAsia="仿宋"/>
          <w:sz w:val="28"/>
          <w:szCs w:val="28"/>
          <w:lang w:eastAsia="zh-CN"/>
        </w:rPr>
      </w:pPr>
      <w:bookmarkStart w:id="7" w:name="trouble"/>
      <w:r>
        <w:rPr>
          <w:rFonts w:hint="eastAsia" w:ascii="仿宋" w:hAnsi="仿宋" w:eastAsia="仿宋"/>
          <w:sz w:val="28"/>
          <w:szCs w:val="28"/>
          <w:lang w:eastAsia="zh-CN"/>
        </w:rPr>
        <w:t>背景及问题分析：</w:t>
      </w:r>
    </w:p>
    <w:p>
      <w:pPr>
        <w:rPr>
          <w:rFonts w:hint="eastAsia" w:ascii="仿宋" w:hAnsi="仿宋" w:eastAsia="仿宋"/>
          <w:sz w:val="28"/>
          <w:szCs w:val="28"/>
          <w:lang w:eastAsia="zh-CN"/>
        </w:rPr>
      </w:pPr>
      <w:r>
        <w:rPr>
          <w:rFonts w:hint="eastAsia" w:ascii="仿宋" w:hAnsi="仿宋" w:eastAsia="仿宋"/>
          <w:sz w:val="28"/>
          <w:szCs w:val="28"/>
          <w:lang w:eastAsia="zh-CN"/>
        </w:rPr>
        <w:t>在多方共同努力下，2019年2月25日淄博市医疗保障局为进一步推进医保支付方式改革，减轻参保人负担，提高医疗保障待遇，下发了《关于腹膜透析按病种限额付费有关问题的通知》，文件中规定腹膜透析按病种限额付费，实行定点管理，即：腹膜透析中的腹透液（含碘伏帽）最高支付限额标准确定为每袋26.2元，其中，职工医保个人负担1.2元，居民医保个人负担4.2元，剩余部分由医保统筹基金支付。腹膜透析医保政策的实施，大大减轻了患者的经济负担，得到了腹膜透析患者的认可与好评。</w:t>
      </w:r>
    </w:p>
    <w:p>
      <w:pPr>
        <w:rPr>
          <w:rFonts w:hint="eastAsia" w:ascii="仿宋" w:hAnsi="仿宋" w:eastAsia="仿宋"/>
          <w:sz w:val="28"/>
          <w:szCs w:val="28"/>
          <w:lang w:eastAsia="zh-CN"/>
        </w:rPr>
      </w:pPr>
      <w:r>
        <w:rPr>
          <w:rFonts w:hint="eastAsia" w:ascii="仿宋" w:hAnsi="仿宋" w:eastAsia="仿宋"/>
          <w:sz w:val="28"/>
          <w:szCs w:val="28"/>
          <w:lang w:eastAsia="zh-CN"/>
        </w:rPr>
        <w:t>腹膜透析和血液透析是终末期肾病患者最主要肾脏替代疗法。通过国际国内医学文献的介绍和多年使用比较，腹膜透析在特定情况下更具有优势：</w:t>
      </w:r>
    </w:p>
    <w:p>
      <w:pPr>
        <w:rPr>
          <w:rFonts w:hint="eastAsia" w:ascii="仿宋" w:hAnsi="仿宋" w:eastAsia="仿宋"/>
          <w:sz w:val="28"/>
          <w:szCs w:val="28"/>
          <w:lang w:eastAsia="zh-CN"/>
        </w:rPr>
      </w:pPr>
      <w:r>
        <w:rPr>
          <w:rFonts w:hint="eastAsia" w:ascii="仿宋" w:hAnsi="仿宋" w:eastAsia="仿宋"/>
          <w:sz w:val="28"/>
          <w:szCs w:val="28"/>
          <w:lang w:eastAsia="zh-CN"/>
        </w:rPr>
        <w:t>1、</w:t>
      </w:r>
      <w:r>
        <w:rPr>
          <w:rFonts w:hint="eastAsia" w:ascii="仿宋" w:hAnsi="仿宋" w:eastAsia="仿宋"/>
          <w:sz w:val="28"/>
          <w:szCs w:val="28"/>
          <w:lang w:eastAsia="zh-CN"/>
        </w:rPr>
        <w:tab/>
      </w:r>
      <w:r>
        <w:rPr>
          <w:rFonts w:hint="eastAsia" w:ascii="仿宋" w:hAnsi="仿宋" w:eastAsia="仿宋"/>
          <w:sz w:val="28"/>
          <w:szCs w:val="28"/>
          <w:lang w:eastAsia="zh-CN"/>
        </w:rPr>
        <w:t>残余肾脏功能保护较好（血液动力学稳定、中分子物质清除较好）</w:t>
      </w:r>
    </w:p>
    <w:p>
      <w:pPr>
        <w:rPr>
          <w:rFonts w:hint="eastAsia" w:ascii="仿宋" w:hAnsi="仿宋" w:eastAsia="仿宋"/>
          <w:sz w:val="28"/>
          <w:szCs w:val="28"/>
          <w:lang w:eastAsia="zh-CN"/>
        </w:rPr>
      </w:pPr>
      <w:r>
        <w:rPr>
          <w:rFonts w:hint="eastAsia" w:ascii="仿宋" w:hAnsi="仿宋" w:eastAsia="仿宋"/>
          <w:sz w:val="28"/>
          <w:szCs w:val="28"/>
          <w:lang w:eastAsia="zh-CN"/>
        </w:rPr>
        <w:t>2、</w:t>
      </w:r>
      <w:r>
        <w:rPr>
          <w:rFonts w:hint="eastAsia" w:ascii="仿宋" w:hAnsi="仿宋" w:eastAsia="仿宋"/>
          <w:sz w:val="28"/>
          <w:szCs w:val="28"/>
          <w:lang w:eastAsia="zh-CN"/>
        </w:rPr>
        <w:tab/>
      </w:r>
      <w:r>
        <w:rPr>
          <w:rFonts w:hint="eastAsia" w:ascii="仿宋" w:hAnsi="仿宋" w:eastAsia="仿宋"/>
          <w:sz w:val="28"/>
          <w:szCs w:val="28"/>
          <w:lang w:eastAsia="zh-CN"/>
        </w:rPr>
        <w:t>交叉感染率低</w:t>
      </w:r>
    </w:p>
    <w:p>
      <w:pPr>
        <w:rPr>
          <w:rFonts w:hint="eastAsia" w:ascii="仿宋" w:hAnsi="仿宋" w:eastAsia="仿宋"/>
          <w:sz w:val="28"/>
          <w:szCs w:val="28"/>
          <w:lang w:eastAsia="zh-CN"/>
        </w:rPr>
      </w:pPr>
      <w:r>
        <w:rPr>
          <w:rFonts w:hint="eastAsia" w:ascii="仿宋" w:hAnsi="仿宋" w:eastAsia="仿宋"/>
          <w:sz w:val="28"/>
          <w:szCs w:val="28"/>
          <w:lang w:eastAsia="zh-CN"/>
        </w:rPr>
        <w:t>3、</w:t>
      </w:r>
      <w:r>
        <w:rPr>
          <w:rFonts w:hint="eastAsia" w:ascii="仿宋" w:hAnsi="仿宋" w:eastAsia="仿宋"/>
          <w:sz w:val="28"/>
          <w:szCs w:val="28"/>
          <w:lang w:eastAsia="zh-CN"/>
        </w:rPr>
        <w:tab/>
      </w:r>
      <w:r>
        <w:rPr>
          <w:rFonts w:hint="eastAsia" w:ascii="仿宋" w:hAnsi="仿宋" w:eastAsia="仿宋"/>
          <w:sz w:val="28"/>
          <w:szCs w:val="28"/>
          <w:lang w:eastAsia="zh-CN"/>
        </w:rPr>
        <w:t>可以居家治疗（占用医疗资源较少）</w:t>
      </w:r>
    </w:p>
    <w:p>
      <w:pPr>
        <w:rPr>
          <w:rFonts w:hint="eastAsia" w:ascii="仿宋" w:hAnsi="仿宋" w:eastAsia="仿宋"/>
          <w:sz w:val="28"/>
          <w:szCs w:val="28"/>
          <w:lang w:eastAsia="zh-CN"/>
        </w:rPr>
      </w:pPr>
      <w:r>
        <w:rPr>
          <w:rFonts w:hint="eastAsia" w:ascii="仿宋" w:hAnsi="仿宋" w:eastAsia="仿宋"/>
          <w:sz w:val="28"/>
          <w:szCs w:val="28"/>
          <w:lang w:eastAsia="zh-CN"/>
        </w:rPr>
        <w:t>4、</w:t>
      </w:r>
      <w:r>
        <w:rPr>
          <w:rFonts w:hint="eastAsia" w:ascii="仿宋" w:hAnsi="仿宋" w:eastAsia="仿宋"/>
          <w:sz w:val="28"/>
          <w:szCs w:val="28"/>
          <w:lang w:eastAsia="zh-CN"/>
        </w:rPr>
        <w:tab/>
      </w:r>
      <w:r>
        <w:rPr>
          <w:rFonts w:hint="eastAsia" w:ascii="仿宋" w:hAnsi="仿宋" w:eastAsia="仿宋"/>
          <w:sz w:val="28"/>
          <w:szCs w:val="28"/>
          <w:lang w:eastAsia="zh-CN"/>
        </w:rPr>
        <w:t>同样的治疗效果下治疗费用低（血液透析患者年均治疗费用9-10万左右，腹膜透析患者年均费用6-7万左右，两者相差3万-4万元）</w:t>
      </w:r>
    </w:p>
    <w:p>
      <w:pPr>
        <w:rPr>
          <w:rFonts w:hint="eastAsia" w:ascii="仿宋" w:hAnsi="仿宋" w:eastAsia="仿宋"/>
          <w:sz w:val="28"/>
          <w:szCs w:val="28"/>
          <w:lang w:eastAsia="zh-CN"/>
        </w:rPr>
      </w:pPr>
      <w:r>
        <w:rPr>
          <w:rFonts w:hint="eastAsia" w:ascii="仿宋" w:hAnsi="仿宋" w:eastAsia="仿宋"/>
          <w:sz w:val="28"/>
          <w:szCs w:val="28"/>
          <w:lang w:eastAsia="zh-CN"/>
        </w:rPr>
        <w:t>5、</w:t>
      </w:r>
      <w:r>
        <w:rPr>
          <w:rFonts w:hint="eastAsia" w:ascii="仿宋" w:hAnsi="仿宋" w:eastAsia="仿宋"/>
          <w:sz w:val="28"/>
          <w:szCs w:val="28"/>
          <w:lang w:eastAsia="zh-CN"/>
        </w:rPr>
        <w:tab/>
      </w:r>
      <w:r>
        <w:rPr>
          <w:rFonts w:hint="eastAsia" w:ascii="仿宋" w:hAnsi="仿宋" w:eastAsia="仿宋"/>
          <w:sz w:val="28"/>
          <w:szCs w:val="28"/>
          <w:lang w:eastAsia="zh-CN"/>
        </w:rPr>
        <w:t>社会回归率和生活质量高</w:t>
      </w:r>
    </w:p>
    <w:p>
      <w:pPr>
        <w:rPr>
          <w:rFonts w:hint="eastAsia" w:ascii="仿宋" w:hAnsi="仿宋" w:eastAsia="仿宋"/>
          <w:sz w:val="28"/>
          <w:szCs w:val="28"/>
          <w:lang w:eastAsia="zh-CN"/>
        </w:rPr>
      </w:pPr>
      <w:r>
        <w:rPr>
          <w:rFonts w:hint="eastAsia" w:ascii="仿宋" w:hAnsi="仿宋" w:eastAsia="仿宋"/>
          <w:sz w:val="28"/>
          <w:szCs w:val="28"/>
          <w:lang w:eastAsia="zh-CN"/>
        </w:rPr>
        <w:t>现状：</w:t>
      </w:r>
    </w:p>
    <w:p>
      <w:pPr>
        <w:rPr>
          <w:rFonts w:hint="eastAsia" w:ascii="仿宋" w:hAnsi="仿宋" w:eastAsia="仿宋"/>
          <w:sz w:val="28"/>
          <w:szCs w:val="28"/>
          <w:lang w:eastAsia="zh-CN"/>
        </w:rPr>
      </w:pPr>
      <w:r>
        <w:rPr>
          <w:rFonts w:hint="eastAsia" w:ascii="仿宋" w:hAnsi="仿宋" w:eastAsia="仿宋"/>
          <w:sz w:val="28"/>
          <w:szCs w:val="28"/>
          <w:lang w:eastAsia="zh-CN"/>
        </w:rPr>
        <w:t>经过十个月的运转，腹膜透析的患者并没有增加。</w:t>
      </w:r>
    </w:p>
    <w:p>
      <w:pPr>
        <w:rPr>
          <w:rFonts w:hint="eastAsia" w:ascii="仿宋" w:hAnsi="仿宋" w:eastAsia="仿宋"/>
          <w:sz w:val="28"/>
          <w:szCs w:val="28"/>
          <w:lang w:eastAsia="zh-CN"/>
        </w:rPr>
      </w:pPr>
      <w:r>
        <w:rPr>
          <w:rFonts w:hint="eastAsia" w:ascii="仿宋" w:hAnsi="仿宋" w:eastAsia="仿宋"/>
          <w:sz w:val="28"/>
          <w:szCs w:val="28"/>
          <w:lang w:eastAsia="zh-CN"/>
        </w:rPr>
        <w:t>这项利好患者、利好医保基金的好政策为什么迟迟未能很好的实施呢？原因如下：</w:t>
      </w:r>
    </w:p>
    <w:p>
      <w:pPr>
        <w:rPr>
          <w:rFonts w:hint="eastAsia" w:ascii="仿宋" w:hAnsi="仿宋" w:eastAsia="仿宋"/>
          <w:sz w:val="28"/>
          <w:szCs w:val="28"/>
          <w:lang w:eastAsia="zh-CN"/>
        </w:rPr>
      </w:pPr>
      <w:r>
        <w:rPr>
          <w:rFonts w:hint="eastAsia" w:ascii="仿宋" w:hAnsi="仿宋" w:eastAsia="仿宋"/>
          <w:sz w:val="28"/>
          <w:szCs w:val="28"/>
          <w:lang w:eastAsia="zh-CN"/>
        </w:rPr>
        <w:t>1、</w:t>
      </w:r>
      <w:r>
        <w:rPr>
          <w:rFonts w:hint="eastAsia" w:ascii="仿宋" w:hAnsi="仿宋" w:eastAsia="仿宋"/>
          <w:sz w:val="28"/>
          <w:szCs w:val="28"/>
          <w:lang w:eastAsia="zh-CN"/>
        </w:rPr>
        <w:tab/>
      </w:r>
      <w:r>
        <w:rPr>
          <w:rFonts w:hint="eastAsia" w:ascii="仿宋" w:hAnsi="仿宋" w:eastAsia="仿宋"/>
          <w:sz w:val="28"/>
          <w:szCs w:val="28"/>
          <w:lang w:eastAsia="zh-CN"/>
        </w:rPr>
        <w:t>医务人员的积极性没有得到合理的激发</w:t>
      </w:r>
    </w:p>
    <w:p>
      <w:pPr>
        <w:rPr>
          <w:rFonts w:hint="eastAsia" w:ascii="仿宋" w:hAnsi="仿宋" w:eastAsia="仿宋"/>
          <w:sz w:val="28"/>
          <w:szCs w:val="28"/>
          <w:lang w:eastAsia="zh-CN"/>
        </w:rPr>
      </w:pPr>
      <w:r>
        <w:rPr>
          <w:rFonts w:hint="eastAsia" w:ascii="仿宋" w:hAnsi="仿宋" w:eastAsia="仿宋"/>
          <w:sz w:val="28"/>
          <w:szCs w:val="28"/>
          <w:lang w:eastAsia="zh-CN"/>
        </w:rPr>
        <w:t>这项制度的实施减轻了患者各种负担，提高了患者的治疗效果，降低了医保基金的支出，但对于三方参与者中的医疗机构和医务人员没有激励，在药品零差价、耗材零差价的情况下</w:t>
      </w:r>
    </w:p>
    <w:p>
      <w:pPr>
        <w:rPr>
          <w:rFonts w:hint="eastAsia" w:ascii="仿宋" w:hAnsi="仿宋" w:eastAsia="仿宋"/>
          <w:sz w:val="28"/>
          <w:szCs w:val="28"/>
          <w:lang w:eastAsia="zh-CN"/>
        </w:rPr>
      </w:pPr>
      <w:r>
        <w:rPr>
          <w:rFonts w:hint="eastAsia" w:ascii="仿宋" w:hAnsi="仿宋" w:eastAsia="仿宋"/>
          <w:sz w:val="28"/>
          <w:szCs w:val="28"/>
          <w:lang w:eastAsia="zh-CN"/>
        </w:rPr>
        <w:t>他们缺乏开展此项工作的积极性和能动性。</w:t>
      </w:r>
    </w:p>
    <w:p>
      <w:pPr>
        <w:rPr>
          <w:rFonts w:hint="eastAsia" w:ascii="仿宋" w:hAnsi="仿宋" w:eastAsia="仿宋"/>
          <w:sz w:val="28"/>
          <w:szCs w:val="28"/>
          <w:lang w:eastAsia="zh-CN"/>
        </w:rPr>
      </w:pPr>
      <w:r>
        <w:rPr>
          <w:rFonts w:hint="eastAsia" w:ascii="仿宋" w:hAnsi="仿宋" w:eastAsia="仿宋"/>
          <w:sz w:val="28"/>
          <w:szCs w:val="28"/>
          <w:lang w:eastAsia="zh-CN"/>
        </w:rPr>
        <w:t>2、</w:t>
      </w:r>
      <w:r>
        <w:rPr>
          <w:rFonts w:hint="eastAsia" w:ascii="仿宋" w:hAnsi="仿宋" w:eastAsia="仿宋"/>
          <w:sz w:val="28"/>
          <w:szCs w:val="28"/>
          <w:lang w:eastAsia="zh-CN"/>
        </w:rPr>
        <w:tab/>
      </w:r>
      <w:r>
        <w:rPr>
          <w:rFonts w:hint="eastAsia" w:ascii="仿宋" w:hAnsi="仿宋" w:eastAsia="仿宋"/>
          <w:sz w:val="28"/>
          <w:szCs w:val="28"/>
          <w:lang w:eastAsia="zh-CN"/>
        </w:rPr>
        <w:t>腹膜透析的管理费及服务费尚未纳入医保</w:t>
      </w:r>
    </w:p>
    <w:p>
      <w:pPr>
        <w:rPr>
          <w:rFonts w:hint="eastAsia" w:ascii="仿宋" w:hAnsi="仿宋" w:eastAsia="仿宋"/>
          <w:sz w:val="28"/>
          <w:szCs w:val="28"/>
          <w:lang w:eastAsia="zh-CN"/>
        </w:rPr>
      </w:pPr>
      <w:r>
        <w:rPr>
          <w:rFonts w:hint="eastAsia" w:ascii="仿宋" w:hAnsi="仿宋" w:eastAsia="仿宋"/>
          <w:sz w:val="28"/>
          <w:szCs w:val="28"/>
          <w:lang w:eastAsia="zh-CN"/>
        </w:rPr>
        <w:t>山东省《2016-16号文件》制定了关于腹膜透析居家诊疗收费的标准：即家庭腹膜透析治疗指导（KRP19701）50元每小时，家庭腹膜透析治疗（KRP22702） 300元每月。但由于属于自费项目，未纳入医保报销范围，在临床中均未收取（山东省部分地市已纳入医保报销）。</w:t>
      </w:r>
    </w:p>
    <w:bookmarkEnd w:id="7"/>
    <w:p>
      <w:pPr>
        <w:rPr>
          <w:rFonts w:hint="eastAsia" w:ascii="仿宋" w:hAnsi="仿宋" w:eastAsia="仿宋"/>
          <w:sz w:val="28"/>
          <w:szCs w:val="28"/>
          <w:lang w:eastAsia="zh-CN"/>
        </w:rPr>
      </w:pPr>
    </w:p>
    <w:p>
      <w:pPr>
        <w:jc w:val="left"/>
        <w:rPr>
          <w:rFonts w:ascii="黑体" w:hAnsi="黑体" w:eastAsia="黑体" w:cs="黑体"/>
          <w:sz w:val="32"/>
          <w:szCs w:val="32"/>
        </w:rPr>
      </w:pPr>
      <w:r>
        <w:rPr>
          <w:rFonts w:hint="eastAsia" w:ascii="黑体" w:hAnsi="黑体" w:eastAsia="黑体" w:cs="黑体"/>
          <w:sz w:val="32"/>
          <w:szCs w:val="32"/>
        </w:rPr>
        <w:t>建议</w:t>
      </w:r>
    </w:p>
    <w:p>
      <w:pPr>
        <w:rPr>
          <w:rFonts w:hint="eastAsia" w:ascii="仿宋" w:hAnsi="仿宋" w:eastAsia="仿宋"/>
          <w:sz w:val="28"/>
          <w:szCs w:val="28"/>
          <w:lang w:eastAsia="zh-CN"/>
        </w:rPr>
      </w:pPr>
      <w:bookmarkStart w:id="8" w:name="content"/>
      <w:r>
        <w:rPr>
          <w:rFonts w:hint="eastAsia" w:ascii="仿宋" w:hAnsi="仿宋" w:eastAsia="仿宋"/>
          <w:sz w:val="28"/>
          <w:szCs w:val="28"/>
          <w:lang w:eastAsia="zh-CN"/>
        </w:rPr>
        <w:t>建议：</w:t>
      </w:r>
    </w:p>
    <w:p>
      <w:pPr>
        <w:rPr>
          <w:rFonts w:hint="eastAsia" w:ascii="仿宋" w:hAnsi="仿宋" w:eastAsia="仿宋"/>
          <w:sz w:val="28"/>
          <w:szCs w:val="28"/>
          <w:lang w:eastAsia="zh-CN"/>
        </w:rPr>
      </w:pPr>
      <w:r>
        <w:rPr>
          <w:rFonts w:hint="eastAsia" w:ascii="仿宋" w:hAnsi="仿宋" w:eastAsia="仿宋"/>
          <w:sz w:val="28"/>
          <w:szCs w:val="28"/>
          <w:lang w:eastAsia="zh-CN"/>
        </w:rPr>
        <w:t>1、</w:t>
      </w:r>
      <w:r>
        <w:rPr>
          <w:rFonts w:hint="eastAsia" w:ascii="仿宋" w:hAnsi="仿宋" w:eastAsia="仿宋"/>
          <w:sz w:val="28"/>
          <w:szCs w:val="28"/>
          <w:lang w:eastAsia="zh-CN"/>
        </w:rPr>
        <w:tab/>
      </w:r>
      <w:r>
        <w:rPr>
          <w:rFonts w:hint="eastAsia" w:ascii="仿宋" w:hAnsi="仿宋" w:eastAsia="仿宋"/>
          <w:sz w:val="28"/>
          <w:szCs w:val="28"/>
          <w:lang w:eastAsia="zh-CN"/>
        </w:rPr>
        <w:t>既然是一个好政策，就要激发医务人员的积极性，将医保基金节省部分按比例奖励腹膜透析的定点医疗机构。</w:t>
      </w:r>
    </w:p>
    <w:p>
      <w:pPr>
        <w:rPr>
          <w:rFonts w:hint="eastAsia" w:ascii="仿宋" w:hAnsi="仿宋" w:eastAsia="仿宋"/>
          <w:sz w:val="28"/>
          <w:szCs w:val="28"/>
          <w:lang w:eastAsia="zh-CN"/>
        </w:rPr>
      </w:pPr>
      <w:r>
        <w:rPr>
          <w:rFonts w:hint="eastAsia" w:ascii="仿宋" w:hAnsi="仿宋" w:eastAsia="仿宋"/>
          <w:sz w:val="28"/>
          <w:szCs w:val="28"/>
          <w:lang w:eastAsia="zh-CN"/>
        </w:rPr>
        <w:t>2、</w:t>
      </w:r>
      <w:r>
        <w:rPr>
          <w:rFonts w:hint="eastAsia" w:ascii="仿宋" w:hAnsi="仿宋" w:eastAsia="仿宋"/>
          <w:sz w:val="28"/>
          <w:szCs w:val="28"/>
          <w:lang w:eastAsia="zh-CN"/>
        </w:rPr>
        <w:tab/>
      </w:r>
      <w:r>
        <w:rPr>
          <w:rFonts w:hint="eastAsia" w:ascii="仿宋" w:hAnsi="仿宋" w:eastAsia="仿宋"/>
          <w:sz w:val="28"/>
          <w:szCs w:val="28"/>
          <w:lang w:eastAsia="zh-CN"/>
        </w:rPr>
        <w:t>将山东省《2016-16号文件》制定的关于腹膜透析居家诊疗收费标准，即家庭腹膜透析治疗指导（KRP19701）50元每小时，家庭腹膜透析治疗（KRP22702） 300元每月纳入医保，以激励定点医疗机构开展腹膜透析的积极性和可持续性。</w:t>
      </w:r>
    </w:p>
    <w:p>
      <w:pPr>
        <w:rPr>
          <w:rFonts w:hint="eastAsia" w:ascii="仿宋" w:hAnsi="仿宋" w:eastAsia="仿宋"/>
          <w:sz w:val="28"/>
          <w:szCs w:val="28"/>
          <w:lang w:eastAsia="zh-CN"/>
        </w:rPr>
      </w:pPr>
      <w:r>
        <w:rPr>
          <w:rFonts w:hint="eastAsia" w:ascii="仿宋" w:hAnsi="仿宋" w:eastAsia="仿宋"/>
          <w:sz w:val="28"/>
          <w:szCs w:val="28"/>
          <w:lang w:eastAsia="zh-CN"/>
        </w:rPr>
        <w:t>因为医务人员需要对在院外进行透析换液治疗的患者进行定期的培训、指导及随访；为患者建立档案、患者和家属进行操作培训、居家透析常见问题的处理；临床状况评估、出口处及隧道评估、导管相关并发症评估、腹膜炎危险因素评估；生存质量、营养及心理状态评估；透析处方及药物调整等。良好的管理可以降低感染的发生率，减少因住院产生的医疗费用。这些工作需要医务人员付出相当大的时间与精力。</w:t>
      </w:r>
    </w:p>
    <w:p>
      <w:pPr>
        <w:rPr>
          <w:rFonts w:hint="eastAsia" w:ascii="仿宋" w:hAnsi="仿宋" w:eastAsia="仿宋"/>
          <w:sz w:val="28"/>
          <w:szCs w:val="28"/>
          <w:lang w:eastAsia="zh-CN"/>
        </w:rPr>
      </w:pPr>
    </w:p>
    <w:bookmarkEnd w:id="8"/>
    <w:p>
      <w:pPr>
        <w:rPr>
          <w:rFonts w:hint="eastAsia" w:ascii="仿宋" w:hAnsi="仿宋" w:eastAsia="仿宋"/>
          <w:sz w:val="28"/>
          <w:szCs w:val="28"/>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5702F"/>
    <w:rsid w:val="5ADE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2020-12-22T04:57:00Z</dcterms:created>
  <dc:creator>Administrator</dc:creator>
  <cp:lastModifiedBy>Administrator</cp:lastModifiedBy>
  <dcterms:modified xsi:type="dcterms:W3CDTF">2020-12-22T05:54:22Z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