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sz w:val="32"/>
          <w:lang w:val="en-US" w:eastAsia="zh-CN"/>
        </w:rPr>
        <w:t>BCR—202</w:t>
      </w:r>
      <w:r>
        <w:rPr>
          <w:rFonts w:hint="eastAsia" w:ascii="Times New Roman" w:hAnsi="Times New Roman" w:eastAsia="宋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2"/>
          <w:lang w:val="en-US" w:eastAsia="zh-CN"/>
        </w:rPr>
        <w:t>—</w:t>
      </w:r>
      <w:r>
        <w:rPr>
          <w:rFonts w:hint="eastAsia" w:ascii="Times New Roman" w:hAnsi="Times New Roman" w:eastAsia="宋体" w:cs="Times New Roman"/>
          <w:sz w:val="32"/>
          <w:lang w:val="en-US" w:eastAsia="zh-CN"/>
        </w:rPr>
        <w:t>082</w:t>
      </w:r>
      <w:r>
        <w:rPr>
          <w:rFonts w:hint="eastAsia" w:ascii="Times New Roman" w:hAnsi="Times New Roman" w:cs="Times New Roman"/>
          <w:sz w:val="32"/>
          <w:lang w:val="en-US" w:eastAsia="zh-CN"/>
        </w:rPr>
        <w:t>0011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56"/>
          <w:szCs w:val="56"/>
        </w:rPr>
        <w:pict>
          <v:shape id="_x0000_i1025" o:spt="136" type="#_x0000_t136" style="height:60pt;width:432pt;" fillcolor="#FF0000" filled="t" stroked="t" coordsize="21600,21600" adj="10800">
            <v:path/>
            <v:fill on="t" color2="#FFFFFF" focussize="0,0"/>
            <v:stroke weight="0pt" color="#FF0000" dashstyle="1 1" endcap="round"/>
            <v:imagedata o:title=""/>
            <o:lock v:ext="edit" aspectratio="f"/>
            <v:textpath on="t" fitshape="t" fitpath="t" trim="t" xscale="f" string="淄博市医疗保障局文件&#10;" style="font-family:方正小标宋简体;font-size:36pt;font-weight:bold;v-text-align:center;"/>
            <w10:wrap type="none"/>
            <w10:anchorlock/>
          </v:shape>
        </w:pic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淄医保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〔20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26035</wp:posOffset>
                </wp:positionV>
                <wp:extent cx="5603240" cy="698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4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pt;margin-top:2.05pt;height:0.55pt;width:441.2pt;z-index:251659264;mso-width-relative:page;mso-height-relative:page;" filled="f" stroked="t" coordsize="21600,21600" o:gfxdata="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bGz/1gAAAAYBAAAPAAAAAAAAAAEAIAAAACIAAABkcnMv&#10;ZG93bnJldi54bWxQSwECFAAUAAAACACHTuJAJesKugUCAAAABAAADgAAAAAAAAABACAAAAAlAQAA&#10;ZHJzL2Uyb0RvYy54bWxQSwUGAAAAAAYABgBZAQAAnAUAAAAA&#10;">
                <v:path arrowok="t"/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淄博市医疗保障局关于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重新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公布中医优势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病种按病种收费有关问题的通知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各区县医保分局，高新区医保分局、经开区医保分局，市医保中心，市稽核中心，全市各公立医疗机构：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淄博市医保局、卫健委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公布全市公立医疗机构第二批中医优势病种按病种收费有关问题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》（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医保发〔20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号）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即将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到期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，根据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山东省医保局鲁医保发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文件精神。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现将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中医优势病种及价格等有关事宜通知如下：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</w:rPr>
        <w:t>一、具体病种及价格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附件所列中医优势病种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价格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标准为三级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二级及以下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公立医疗机构最高收费标准。各医疗机构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价格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基础上下浮，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下浮幅度不限。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凡主诊断、主操作符合实施按病种收费的患者，均可纳入按病种收费范围。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</w:rPr>
        <w:t>二、按病种收费的内涵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按病种收费价格包含患者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因接受中医医疗服务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住院期间发生的诊断、治疗等全部费用，即从患者入院，按病种治疗管理流程接受规范诊疗，到最终达到临床疗效标准出院，整个过程中所发生的诊断、治疗、手术、麻醉、护理、床位、药品及医用耗材等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患者自愿选择的单、双人间及特需病房床位费超出普通病房价格的部分均可单独收费，不计入病种价格。此外，医院不得另收其他费用。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CESI黑体-GB2312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CESI黑体-GB2312" w:cs="Times New Roman"/>
          <w:sz w:val="32"/>
          <w:szCs w:val="32"/>
        </w:rPr>
        <w:t>医保支付政策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（一）参保人员在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定点医疗机构发生的按病种收费管理的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中医优势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病种费用，纳入全市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区域点数法总额预算和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按病种分值付费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DIP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结算。对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根据基金运行情况，逐步建立对中医优势病种的倾斜支付政策。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二）超出普通病房床位费，由患者自行支付。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（三）异地参保人员到我市相关医疗机构就诊的，病种价格按就医地标准执行，报销比例按参保人员参保地政策执行。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  <w:t>四、退出机制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因合并症、并发症或患者病情较重、体质特殊等原因，导致实际发生医疗费用明显偏离病种收费标准的病例，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可按规定程序退出按病种收费，仍按原收费方式结算。退出时应告知患者或其亲属退出的理由，并办理退出手续。各病种退出率严格控制在20%以内。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CESI黑体-GB2312" w:cs="Times New Roman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CESI黑体-GB2312" w:cs="Times New Roman"/>
          <w:sz w:val="32"/>
          <w:szCs w:val="32"/>
        </w:rPr>
        <w:t>、相关政策要求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）各医疗机构要完善临床路径管理和控费措施，并抓好落实。对实行按病种收费的病例实际费用超出病种收费标准的，按病种收费标准执行；实际费用低于病种收费标准的，据实收取，不得按病种收费标准执行。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）各医疗机构要建立按病种收费申投诉责任制，畅通医患沟通渠道。不得拒收患者、分解住院次数或无故缩短住院时间。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）实施按病种收费，是改革医疗机构现行收费方式和医保支付制度、有效控制医疗费用、缓解群众看病贵的一项重要措施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各级医保部门要指导医疗机构严格费用控制，建立健全实施按病收费的进入和退出机制。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各医疗机构要充分认识按病种收费改革的重要意义，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落实价格公示，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加强政策宣传，保障患者的知情权、选择权。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本通知自202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月1日起执行，有效期至202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月31日。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淄博市医保局、卫健委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关于重新公布公立医疗机构按病种收费有关问题的通知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》（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医保发〔202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号）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文件附件105-110项所列项目同时废止。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附件：淄博市公立医疗机构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中医优势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收费价格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淄博市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2023年12月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600" w:lineRule="exact"/>
        <w:ind w:firstLine="320" w:firstLineChars="10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公立医疗机构中医优势病种收费标准</w:t>
      </w:r>
    </w:p>
    <w:p>
      <w:pPr>
        <w:keepNext w:val="0"/>
        <w:keepLines w:val="0"/>
        <w:pageBreakBefore w:val="0"/>
        <w:tabs>
          <w:tab w:val="left" w:pos="119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单位：元</w:t>
      </w:r>
    </w:p>
    <w:tbl>
      <w:tblPr>
        <w:tblStyle w:val="6"/>
        <w:tblpPr w:leftFromText="180" w:rightFromText="180" w:vertAnchor="text" w:horzAnchor="page" w:tblpX="898" w:tblpY="674"/>
        <w:tblOverlap w:val="never"/>
        <w:tblW w:w="14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256"/>
        <w:gridCol w:w="1125"/>
        <w:gridCol w:w="1500"/>
        <w:gridCol w:w="1905"/>
        <w:gridCol w:w="1890"/>
        <w:gridCol w:w="2145"/>
        <w:gridCol w:w="1125"/>
        <w:gridCol w:w="132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病种编码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中医病症分类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国际疾病分类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主要操作/治疗方式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三级医院价格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二级及以下医院价格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疾病代码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ICD-10编码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湿疮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A08.01.07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湿疹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L30.902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眩晕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后循环缺血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G45.004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肺炎喘嗽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A10.04.02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病毒性肺炎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石淋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A04.05.01.06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泌尿系结石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N20.900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A08.03.01.01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I84.200x002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内痔消痔灵注射术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肠痈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A04.03.37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急性阑尾炎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K35.900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中医药保守治疗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丹毒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A08.01.56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丹毒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A46.x00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口僻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A07.01.01.04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面神经炎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G51.800x002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青蛇毒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A08.02.16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血栓性静脉炎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I80.902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肛漏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A08.03.06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高位肛瘘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高位肛瘘切开挂线疗法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S62.802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指骨骨折闭合复位钢针内固定术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限单发指骨骨折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S62.301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掌骨骨折闭合复位钢针内固定术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限单发掌骨骨折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桡骨颈骨折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S52.102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踝部骨折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S82.80302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肱骨外踝骨折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S42.402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A03.06.01.21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足跖骨骨折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S92.300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ZYYSZB5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盖氏骨折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BGG0170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盖氏骨折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S52.5001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备注：四肢骨科手术均为单侧。</w:t>
      </w:r>
    </w:p>
    <w:p>
      <w:pPr>
        <w:pStyle w:val="5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pStyle w:val="5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-179070</wp:posOffset>
              </wp:positionV>
              <wp:extent cx="101981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1pt;height:18.65pt;width:80.3pt;mso-position-horizontal:outside;mso-position-horizontal-relative:margin;z-index:251659264;mso-width-relative:page;mso-height-relative:page;" filled="f" stroked="f" coordsize="21600,21600" o:gfxdata="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Kfve1AAAAAYBAAAPAAAAAAAAAAEAIAAAACIAAABkcnMvZG93&#10;bnJldi54bWxQSwECFAAUAAAACACHTuJAlPjZij0CAABwBAAADgAAAAAAAAABACAAAAAjAQAAZHJz&#10;L2Uyb0RvYy54bWxQSwUGAAAAAAYABgBZAQAA0g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1856"/>
    <w:rsid w:val="252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next w:val="3"/>
    <w:qFormat/>
    <w:uiPriority w:val="0"/>
    <w:pPr>
      <w:ind w:left="0" w:leftChars="0" w:firstLine="0"/>
    </w:pPr>
    <w:rPr>
      <w:rFonts w:ascii="Times New Roman" w:hAnsi="Times New Roman" w:cs="仿宋_GB2312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sz w:val="36"/>
      <w:szCs w:val="36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msolistparagraph"/>
    <w:basedOn w:val="1"/>
    <w:qFormat/>
    <w:uiPriority w:val="0"/>
    <w:pPr>
      <w:ind w:firstLine="420"/>
    </w:pPr>
    <w:rPr>
      <w:rFonts w:ascii="仿宋" w:hAnsi="仿宋" w:eastAsia="仿宋" w:cs="Times New Roman"/>
      <w:kern w:val="0"/>
      <w:sz w:val="32"/>
      <w:szCs w:val="32"/>
    </w:rPr>
  </w:style>
  <w:style w:type="character" w:customStyle="1" w:styleId="11">
    <w:name w:val="font4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6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2024-01-25T13:50:00Z</dcterms:created>
  <dc:creator>Administrator</dc:creator>
  <cp:lastModifiedBy>Administrator</cp:lastModifiedBy>
  <dcterms:modified xsi:type="dcterms:W3CDTF">2024-01-25T13:51:45Z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FAF6FE9F8CFB44B19E8C73047017F26D</vt:lpwstr>
  </property>
</Properties>
</file>