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640"/>
        <w:jc w:val="center"/>
        <w:rPr>
          <w:rFonts w:hint="default" w:ascii="Times New Roman" w:hAnsi="Times New Roman" w:eastAsia="方正小标宋简体" w:cs="Times New Roman"/>
          <w:kern w:val="0"/>
          <w:sz w:val="44"/>
          <w:szCs w:val="44"/>
        </w:rPr>
      </w:pPr>
    </w:p>
    <w:p>
      <w:pPr>
        <w:spacing w:line="520" w:lineRule="exact"/>
        <w:ind w:right="640"/>
        <w:jc w:val="center"/>
        <w:rPr>
          <w:rFonts w:hint="default" w:ascii="Times New Roman" w:hAnsi="Times New Roman" w:eastAsia="方正小标宋简体" w:cs="Times New Roman"/>
          <w:color w:val="000000"/>
          <w:kern w:val="0"/>
          <w:sz w:val="44"/>
          <w:szCs w:val="44"/>
          <w:lang w:bidi="ar"/>
        </w:rPr>
      </w:pPr>
      <w:r>
        <w:rPr>
          <w:rFonts w:hint="default" w:ascii="Times New Roman" w:hAnsi="Times New Roman" w:eastAsia="方正小标宋简体" w:cs="Times New Roman"/>
          <w:color w:val="000000"/>
          <w:kern w:val="0"/>
          <w:sz w:val="44"/>
          <w:szCs w:val="44"/>
          <w:lang w:val="en-US" w:eastAsia="zh-CN" w:bidi="ar"/>
        </w:rPr>
        <w:t>过渡期保留</w:t>
      </w:r>
      <w:r>
        <w:rPr>
          <w:rFonts w:hint="default" w:ascii="Times New Roman" w:hAnsi="Times New Roman" w:eastAsia="方正小标宋简体" w:cs="Times New Roman"/>
          <w:color w:val="000000"/>
          <w:kern w:val="0"/>
          <w:sz w:val="44"/>
          <w:szCs w:val="44"/>
          <w:lang w:bidi="ar"/>
        </w:rPr>
        <w:t>门诊慢特病病种目录及认定标准</w:t>
      </w:r>
    </w:p>
    <w:p>
      <w:pPr>
        <w:pStyle w:val="3"/>
        <w:ind w:firstLine="3520" w:firstLineChars="800"/>
        <w:jc w:val="both"/>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（执行至2024年12月31日）</w:t>
      </w:r>
    </w:p>
    <w:tbl>
      <w:tblPr>
        <w:tblStyle w:val="4"/>
        <w:tblpPr w:leftFromText="180" w:rightFromText="180" w:vertAnchor="text" w:horzAnchor="page" w:tblpX="2367" w:tblpY="1046"/>
        <w:tblOverlap w:val="never"/>
        <w:tblW w:w="12441" w:type="dxa"/>
        <w:tblInd w:w="0" w:type="dxa"/>
        <w:tblLayout w:type="fixed"/>
        <w:tblCellMar>
          <w:top w:w="0" w:type="dxa"/>
          <w:left w:w="108" w:type="dxa"/>
          <w:bottom w:w="0" w:type="dxa"/>
          <w:right w:w="108" w:type="dxa"/>
        </w:tblCellMar>
      </w:tblPr>
      <w:tblGrid>
        <w:gridCol w:w="963"/>
        <w:gridCol w:w="1816"/>
        <w:gridCol w:w="9662"/>
      </w:tblGrid>
      <w:tr>
        <w:tblPrEx>
          <w:tblCellMar>
            <w:top w:w="0" w:type="dxa"/>
            <w:left w:w="108" w:type="dxa"/>
            <w:bottom w:w="0" w:type="dxa"/>
            <w:right w:w="108" w:type="dxa"/>
          </w:tblCellMar>
        </w:tblPrEx>
        <w:trPr>
          <w:trHeight w:val="350" w:hRule="atLeast"/>
        </w:trPr>
        <w:tc>
          <w:tcPr>
            <w:tcW w:w="963" w:type="dxa"/>
            <w:tcBorders>
              <w:top w:val="single" w:color="000000" w:sz="8" w:space="0"/>
              <w:left w:val="single" w:color="000000" w:sz="8" w:space="0"/>
              <w:bottom w:val="nil"/>
              <w:right w:val="single" w:color="000000" w:sz="8" w:space="0"/>
            </w:tcBorders>
            <w:noWrap/>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lang w:bidi="ar"/>
              </w:rPr>
              <w:t>序号</w:t>
            </w:r>
          </w:p>
        </w:tc>
        <w:tc>
          <w:tcPr>
            <w:tcW w:w="1816" w:type="dxa"/>
            <w:tcBorders>
              <w:top w:val="single" w:color="000000" w:sz="8" w:space="0"/>
              <w:left w:val="nil"/>
              <w:bottom w:val="nil"/>
              <w:right w:val="single" w:color="000000" w:sz="8" w:space="0"/>
            </w:tcBorders>
            <w:noWrap/>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lang w:bidi="ar"/>
              </w:rPr>
              <w:t>病种</w:t>
            </w:r>
          </w:p>
        </w:tc>
        <w:tc>
          <w:tcPr>
            <w:tcW w:w="9662" w:type="dxa"/>
            <w:tcBorders>
              <w:top w:val="single" w:color="000000" w:sz="8" w:space="0"/>
              <w:left w:val="nil"/>
              <w:bottom w:val="nil"/>
              <w:right w:val="single" w:color="000000" w:sz="8" w:space="0"/>
            </w:tcBorders>
            <w:noWrap w:val="0"/>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lang w:bidi="ar"/>
              </w:rPr>
              <w:t>认定标准</w:t>
            </w:r>
          </w:p>
        </w:tc>
      </w:tr>
      <w:tr>
        <w:tblPrEx>
          <w:tblCellMar>
            <w:top w:w="0" w:type="dxa"/>
            <w:left w:w="108" w:type="dxa"/>
            <w:bottom w:w="0" w:type="dxa"/>
            <w:right w:w="108" w:type="dxa"/>
          </w:tblCellMar>
        </w:tblPrEx>
        <w:trPr>
          <w:trHeight w:val="475"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1</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慢性房颤</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lang w:val="en-US" w:eastAsia="zh-CN"/>
              </w:rPr>
            </w:pPr>
            <w:r>
              <w:rPr>
                <w:rFonts w:hint="default" w:ascii="Times New Roman" w:hAnsi="Times New Roman" w:cs="Times New Roman"/>
                <w:color w:val="000000"/>
                <w:kern w:val="0"/>
                <w:sz w:val="22"/>
                <w:lang w:val="en-US" w:eastAsia="zh-CN"/>
              </w:rPr>
              <w:t>1.听诊心律绝对不齐，第一心音强弱不等，伴脉搏短拙。2.心电图（1）p波消失，出现房颤波（f波）；（2）RR间期绝对不等。</w:t>
            </w:r>
            <w:r>
              <w:rPr>
                <w:rFonts w:hint="default" w:ascii="Times New Roman" w:hAnsi="Times New Roman" w:cs="Times New Roman"/>
                <w:color w:val="000000"/>
                <w:kern w:val="0"/>
                <w:sz w:val="22"/>
              </w:rPr>
              <w:t>经二级及以上医疗机构诊断并符合上述条件。</w:t>
            </w:r>
          </w:p>
        </w:tc>
      </w:tr>
      <w:tr>
        <w:tblPrEx>
          <w:tblCellMar>
            <w:top w:w="0" w:type="dxa"/>
            <w:left w:w="108" w:type="dxa"/>
            <w:bottom w:w="0" w:type="dxa"/>
            <w:right w:w="108" w:type="dxa"/>
          </w:tblCellMar>
        </w:tblPrEx>
        <w:trPr>
          <w:trHeight w:val="475"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2</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心肌病（原发性）</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（一）扩张型心肌病</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1.超声心动图：心腔扩大、心脏弥漫性搏动减弱；2.心律失常；3.充血性心力衰竭的表现；</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4.心脏扩大。认定标准：符合第1条＋第2-4条中一条。</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（二）肥厚型心肌病</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1.超声心动图：左室肥厚；2.胸闷、胸痛、头晕；3.心电图异常。4.除外其它原因导致的心肌肥厚。</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认定标准：符合第1条＋第2-4条中一条。</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（三）限制型心肌病</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1.超声心动图：心内膜增厚，左室舒张功能严重减退；2.左心衰表现；3.胸部X线显示肺充血。</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认定标准：符合第1条＋第2-3条中一条。</w:t>
            </w:r>
          </w:p>
        </w:tc>
      </w:tr>
      <w:tr>
        <w:tblPrEx>
          <w:tblCellMar>
            <w:top w:w="0" w:type="dxa"/>
            <w:left w:w="108" w:type="dxa"/>
            <w:bottom w:w="0" w:type="dxa"/>
            <w:right w:w="108" w:type="dxa"/>
          </w:tblCellMar>
        </w:tblPrEx>
        <w:trPr>
          <w:trHeight w:val="375"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3</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消化性溃疡（限职工）</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1.反复发作的慢性上腹部疼痛，有节律性和周期性，或无症状；2.胃镜检查，发现溃疡；</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3.上消化道的钡餐检查，发现溃疡。</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认定标准：符合第1条＋第2-3条中一条。</w:t>
            </w:r>
          </w:p>
        </w:tc>
      </w:tr>
      <w:tr>
        <w:tblPrEx>
          <w:tblCellMar>
            <w:top w:w="0" w:type="dxa"/>
            <w:left w:w="108" w:type="dxa"/>
            <w:bottom w:w="0" w:type="dxa"/>
            <w:right w:w="108" w:type="dxa"/>
          </w:tblCellMar>
        </w:tblPrEx>
        <w:trPr>
          <w:trHeight w:val="475"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4</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白细胞减少症</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认定标准：外周血白细胞计数持续低于4.0×109/L。</w:t>
            </w:r>
          </w:p>
        </w:tc>
      </w:tr>
      <w:tr>
        <w:tblPrEx>
          <w:tblCellMar>
            <w:top w:w="0" w:type="dxa"/>
            <w:left w:w="108" w:type="dxa"/>
            <w:bottom w:w="0" w:type="dxa"/>
            <w:right w:w="108" w:type="dxa"/>
          </w:tblCellMar>
        </w:tblPrEx>
        <w:trPr>
          <w:trHeight w:val="475"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5</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甲亢性心脏病（限职工）</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高代谢症状和体征：（1）疲乏无力，怕热多汗，皮肤潮湿；（2）手有细颤；（3）心悸、心动过速，心律失常；（4）甲状腺血管杂音；（5）食欲亢进，大便次数增多；（6）血压改变；（7）女性闭经，男性阳萎；</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2.甲状腺肿；</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3.甲功FT4升高、FT3升高，TSH降低；</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4.心血管症状：（1）心律失常（心房颤动）；（2）心脏增大；（3）心力衰竭。</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认定标准：符合第1-3条＋第4条中的一项。</w:t>
            </w:r>
          </w:p>
        </w:tc>
      </w:tr>
      <w:tr>
        <w:tblPrEx>
          <w:tblCellMar>
            <w:top w:w="0" w:type="dxa"/>
            <w:left w:w="108" w:type="dxa"/>
            <w:bottom w:w="0" w:type="dxa"/>
            <w:right w:w="108" w:type="dxa"/>
          </w:tblCellMar>
        </w:tblPrEx>
        <w:trPr>
          <w:trHeight w:val="475"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6</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甲状腺功能减退症（限职工）</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1.有甲状腺功能减退的临床表现；2.甲状腺功能化验检查指标低于正常。</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认定标准：符合上述条件二条。</w:t>
            </w:r>
          </w:p>
        </w:tc>
      </w:tr>
      <w:tr>
        <w:tblPrEx>
          <w:tblCellMar>
            <w:top w:w="0" w:type="dxa"/>
            <w:left w:w="108" w:type="dxa"/>
            <w:bottom w:w="0" w:type="dxa"/>
            <w:right w:w="108" w:type="dxa"/>
          </w:tblCellMar>
        </w:tblPrEx>
        <w:trPr>
          <w:trHeight w:val="475"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7</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皮质醇增多症</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必要条件：</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1.临床出现满月脸、向心性肥胖、多血质、紫纹、骨质疏松等表现，门诊或住院病历中诊断为皮质醇增多症；2.血液检验：血浆皮质醇增高。</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参考条件：</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1.尿液检验：24小时尿17-羟、17-酮皮质类固醇增高；</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2.小剂量地塞米松试验；</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3.CT、B超、MRI等影像学检查显示肾上腺病理性改变（增生，腺瘤或癌等）。</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认定标准：必要条件一条＋参考条件一条。</w:t>
            </w:r>
          </w:p>
        </w:tc>
      </w:tr>
      <w:tr>
        <w:tblPrEx>
          <w:tblCellMar>
            <w:top w:w="0" w:type="dxa"/>
            <w:left w:w="108" w:type="dxa"/>
            <w:bottom w:w="0" w:type="dxa"/>
            <w:right w:w="108" w:type="dxa"/>
          </w:tblCellMar>
        </w:tblPrEx>
        <w:trPr>
          <w:trHeight w:val="475"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8</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原发性醛固酮增多症</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必要条件：</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早期仅有高血压症状，以后出现阵发性肌无力、麻痹、手足搐搦、肌肉痉挛、多尿、心律失常等表现，门诊或住院病历中诊断为原发性醛固酮增多症。</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参考条件：</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1.血液检验：出现血醛固酮增高、血钾降低；2.尿液检验：出现尿醛固酮增高、尿钾高；</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3.安体舒通试验：阳性；</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4.B超、CT、MRI等影像学检查显示肾上腺病理性改变。</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认定标准：必要条件＋参考条件二条。</w:t>
            </w:r>
          </w:p>
        </w:tc>
      </w:tr>
      <w:tr>
        <w:tblPrEx>
          <w:tblCellMar>
            <w:top w:w="0" w:type="dxa"/>
            <w:left w:w="108" w:type="dxa"/>
            <w:bottom w:w="0" w:type="dxa"/>
            <w:right w:w="108" w:type="dxa"/>
          </w:tblCellMar>
        </w:tblPrEx>
        <w:trPr>
          <w:trHeight w:val="475"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9</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原发性慢性肾上腺皮质功能减退症</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必要条件：</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1.早期表现乏力、无力、精神萎靡、食欲不振、体重下降等；</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典型表现：（1）皮肤粘膜色素沉着；（2）低血压、心脏小；（3）低血糖；（4）食欲减退，加重时恶心、呕吐、偶有腹痛、腹泻；（5）淡漠，肌无力；（6）女性闭经、男性阳萎；（7）免疫功能降低；（8）肾上腺危像。</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参考条件：辅助检查（1）胸部X线心影缩小（2）血常规异常（3）低血钠、高血钾，低血糖，有时高血钙（4）ACTH兴奋试验示低反应或无反应；（5）血浆基础ACTH测定明显升高（6）CT、MRI检查有利于诊断。</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认定标准：必要条件＋参考条件至少三条。</w:t>
            </w:r>
          </w:p>
        </w:tc>
      </w:tr>
      <w:tr>
        <w:tblPrEx>
          <w:tblCellMar>
            <w:top w:w="0" w:type="dxa"/>
            <w:left w:w="108" w:type="dxa"/>
            <w:bottom w:w="0" w:type="dxa"/>
            <w:right w:w="108" w:type="dxa"/>
          </w:tblCellMar>
        </w:tblPrEx>
        <w:trPr>
          <w:trHeight w:val="475"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10</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多发性硬化</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1.临床病史一年以上，出现因多个脑神经受累而造成的肢体瘫痪、视力障碍、眼肌麻痹、共济失调、感觉障碍等症状，门诊或住院病历中诊断为脑白质多发性硬化。</w:t>
            </w:r>
            <w:r>
              <w:rPr>
                <w:rFonts w:hint="default" w:ascii="Times New Roman" w:hAnsi="Times New Roman" w:cs="Times New Roman"/>
                <w:color w:val="000000"/>
                <w:kern w:val="0"/>
                <w:sz w:val="22"/>
                <w:lang w:val="en-US" w:eastAsia="zh-CN"/>
              </w:rPr>
              <w:br w:type="textWrapping"/>
            </w:r>
            <w:r>
              <w:rPr>
                <w:rFonts w:hint="default" w:ascii="Times New Roman" w:hAnsi="Times New Roman" w:cs="Times New Roman"/>
                <w:color w:val="000000"/>
                <w:kern w:val="0"/>
                <w:sz w:val="22"/>
                <w:lang w:val="en-US" w:eastAsia="zh-CN"/>
              </w:rPr>
              <w:t>2.CT或MRI检查：显示病灶并明确部位。</w:t>
            </w:r>
            <w:r>
              <w:rPr>
                <w:rFonts w:hint="default" w:ascii="Times New Roman" w:hAnsi="Times New Roman" w:cs="Times New Roman"/>
                <w:color w:val="000000"/>
                <w:kern w:val="0"/>
                <w:sz w:val="22"/>
                <w:lang w:val="en-US" w:eastAsia="zh-CN"/>
              </w:rPr>
              <w:br w:type="textWrapping"/>
            </w:r>
            <w:r>
              <w:rPr>
                <w:rFonts w:hint="default" w:ascii="Times New Roman" w:hAnsi="Times New Roman" w:cs="Times New Roman"/>
                <w:color w:val="000000"/>
                <w:kern w:val="0"/>
                <w:sz w:val="22"/>
                <w:lang w:val="en-US" w:eastAsia="zh-CN"/>
              </w:rPr>
              <w:t>认定标准：符合上述条件二条。</w:t>
            </w:r>
          </w:p>
        </w:tc>
      </w:tr>
      <w:tr>
        <w:tblPrEx>
          <w:tblCellMar>
            <w:top w:w="0" w:type="dxa"/>
            <w:left w:w="108" w:type="dxa"/>
            <w:bottom w:w="0" w:type="dxa"/>
            <w:right w:w="108" w:type="dxa"/>
          </w:tblCellMar>
        </w:tblPrEx>
        <w:trPr>
          <w:trHeight w:val="475"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11</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白塞氏病</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必要条件：反复口腔溃疡，年内至少复发三次。</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参考条件：</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1.复发性外阴溃疡；</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2.眼炎：虹膜睫状体炎或结膜炎或角膜炎或前房积脓或视网膜血管炎或裂隙灯下玻璃体内有细胞出现；</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3.皮肤改变：结节性红斑或假性毛囊炎或丘疹性脓疱疹或痤疮样结节（未服用糖皮质激素）；</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4.其他相关系统症状（须经三级医院确诊）：消化道症状、心血管症状、神经系统症状、关节症状、肺部症状、附睾炎等；</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5.针刺试验阳性（须经三级医院确诊）。</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认定标准：必要条件+参考条件二条。</w:t>
            </w:r>
          </w:p>
        </w:tc>
      </w:tr>
      <w:tr>
        <w:tblPrEx>
          <w:tblCellMar>
            <w:top w:w="0" w:type="dxa"/>
            <w:left w:w="108" w:type="dxa"/>
            <w:bottom w:w="0" w:type="dxa"/>
            <w:right w:w="108" w:type="dxa"/>
          </w:tblCellMar>
        </w:tblPrEx>
        <w:trPr>
          <w:trHeight w:val="475"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12</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苯丙酮尿症</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1.初筛苯丙氨酸大于2mg/dl（120mol/l），复查后仍大于2mg/dl（120mol/l）；</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2.串联质谱诊断苯丙氨酸/酪氨酸大于2，且苯丙氨酸大于6mg/dl（360mol/l）；</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3.（1）尿喋呤分析：生物喋呤/新喋呤低于10%；（2）二氢生物喋呤还原酶缺乏。</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认定标准：符合上述条件一条。</w:t>
            </w:r>
          </w:p>
        </w:tc>
      </w:tr>
      <w:tr>
        <w:tblPrEx>
          <w:tblCellMar>
            <w:top w:w="0" w:type="dxa"/>
            <w:left w:w="108" w:type="dxa"/>
            <w:bottom w:w="0" w:type="dxa"/>
            <w:right w:w="108" w:type="dxa"/>
          </w:tblCellMar>
        </w:tblPrEx>
        <w:trPr>
          <w:trHeight w:val="820"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13</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szCs w:val="24"/>
                <w:lang w:val="en-US" w:eastAsia="zh-CN" w:bidi="ar-SA"/>
              </w:rPr>
            </w:pPr>
            <w:r>
              <w:rPr>
                <w:rFonts w:hint="default" w:ascii="Times New Roman" w:hAnsi="Times New Roman" w:cs="Times New Roman"/>
                <w:color w:val="000000"/>
                <w:kern w:val="0"/>
                <w:sz w:val="22"/>
                <w:lang w:val="en-US" w:eastAsia="zh-CN"/>
              </w:rPr>
              <w:t>肺动脉高压</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eastAsia="仿宋_GB2312" w:cs="Times New Roman"/>
                <w:color w:val="000000"/>
                <w:kern w:val="0"/>
                <w:sz w:val="22"/>
                <w:szCs w:val="24"/>
                <w:lang w:val="en-US" w:eastAsia="zh-CN" w:bidi="ar-SA"/>
              </w:rPr>
            </w:pPr>
            <w:r>
              <w:rPr>
                <w:rFonts w:hint="default" w:ascii="Times New Roman" w:hAnsi="Times New Roman" w:cs="Times New Roman"/>
                <w:color w:val="000000"/>
                <w:kern w:val="0"/>
                <w:sz w:val="22"/>
                <w:lang w:val="en-US" w:eastAsia="zh-CN"/>
              </w:rPr>
              <w:t>在先天性心脏病或慢性阻塞性肺疾病，肺气肿，肺间质性纤维化的基础上，心脏超声检查，估测肺动脉收缩压≥35mmHg。有条件的医院行右心导管检查。</w:t>
            </w:r>
          </w:p>
        </w:tc>
      </w:tr>
      <w:tr>
        <w:tblPrEx>
          <w:tblCellMar>
            <w:top w:w="0" w:type="dxa"/>
            <w:left w:w="108" w:type="dxa"/>
            <w:bottom w:w="0" w:type="dxa"/>
            <w:right w:w="108" w:type="dxa"/>
          </w:tblCellMar>
        </w:tblPrEx>
        <w:trPr>
          <w:trHeight w:val="1160"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14</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银屑病</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1.中重度银屑病（寻常型）/脓疱型/关节型/红皮病型；</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2.病例确诊；</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3.近1—2年反复发作。</w:t>
            </w:r>
          </w:p>
        </w:tc>
      </w:tr>
      <w:tr>
        <w:tblPrEx>
          <w:tblCellMar>
            <w:top w:w="0" w:type="dxa"/>
            <w:left w:w="108" w:type="dxa"/>
            <w:bottom w:w="0" w:type="dxa"/>
            <w:right w:w="108" w:type="dxa"/>
          </w:tblCellMar>
        </w:tblPrEx>
        <w:trPr>
          <w:trHeight w:val="3810"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15</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子宫内膜异位症</w:t>
            </w:r>
          </w:p>
        </w:tc>
        <w:tc>
          <w:tcPr>
            <w:tcW w:w="966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必要条件：</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1.育龄妇女，经介入或手术治疗有病理诊断或有手术病史诊断为子宫内膜异位症；</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2.育龄妇女，妇科查体提示子宫后倾固定、附件可扪及活动度欠佳的囊性肿块，阴道后穹隆、直肠子宫陷凹、宫骶韧带痛性结节、阴道后穹隆紫蓝色结节；</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3.育龄妇女，超声提示子宫内膜异位症。</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参考条件：</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1.MRI提示子宫内膜异位症；</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2.明显痛经或慢性盆腔痛或性交痛或性交后疼痛；</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 xml:space="preserve">3.与月经周期相关的胃肠道症状，如排便痛、便频、便秘或肠痉挛，或泌尿系统症状如血尿或尿痛； </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4.合并女方因素不孕症。</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认定标准：符合必要条件第1条；符合必要条件第2条及第3条；符合必要条件第2条及参考条件任1条；符合必要条件第3条及参考条件第2—4条中任1条。</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22F7D"/>
    <w:rsid w:val="0E022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before="120" w:after="120" w:line="360" w:lineRule="auto"/>
      <w:ind w:firstLine="200" w:firstLineChars="200"/>
      <w:jc w:val="left"/>
    </w:pPr>
    <w:rPr>
      <w:rFonts w:ascii="Calibri" w:hAnsi="Times New Roman" w:eastAsia="Calibri" w:cs="Times New Roman"/>
      <w:b/>
      <w:bCs/>
      <w:caps/>
      <w:sz w:val="20"/>
      <w:szCs w:val="20"/>
    </w:rPr>
  </w:style>
  <w:style w:type="paragraph" w:styleId="3">
    <w:name w:val="Body Text"/>
    <w:basedOn w:val="1"/>
    <w:qFormat/>
    <w:uiPriority w:val="0"/>
    <w:pPr>
      <w:spacing w:before="0" w:after="140" w:line="276" w:lineRule="auto"/>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2023-12-31T10:14:00Z</dcterms:created>
  <dc:creator>Administrator</dc:creator>
  <cp:lastModifiedBy>Administrator</cp:lastModifiedBy>
  <dcterms:modified xsi:type="dcterms:W3CDTF">2023-12-31T10:14:48Z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11D564DCB9F646658F285EC356BBF29E</vt:lpwstr>
  </property>
</Properties>
</file>