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淄博市医疗保障局</w:t>
      </w:r>
    </w:p>
    <w:p>
      <w:pPr>
        <w:spacing w:line="600" w:lineRule="exact"/>
        <w:jc w:val="center"/>
        <w:rPr>
          <w:rFonts w:hint="eastAsia" w:ascii="微软雅黑" w:hAnsi="微软雅黑" w:eastAsia="微软雅黑" w:cs="方正小标宋简体"/>
          <w:b/>
          <w:color w:val="2E75B6" w:themeColor="accent1" w:themeShade="B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年度政府信息公开工作年度报告</w:t>
      </w:r>
    </w:p>
    <w:p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本年度报告中所列数据的统计期限自202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年1月1日起，至202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年12月31日止。如对报告内容有疑问，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淄博市医疗保障局联系（地址：淄博市张店区联通路290号309室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邮编：255000；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电话：0533-2181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082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邮箱：zbsylbzjzhk@zb.shandong.cn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2023年，淄博市医疗保障局深入贯彻落实《中华人民共和国政府信息公开条例》，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不断完善工作机制、拓宽公开渠道、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规范依申请公开办理，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进一步提升了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标准化和规范化水平。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1.主动公开方面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2023年，市医保局共制发行政规范性文件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件，普通政府文件11件。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共发布政策解读材料20条，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其中视频、图片等形式解读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局网站发布信息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242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按季度公开医疗救助信息4条，基本医疗保险参保信息4条。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2.依申请公开工作方面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2023年接收依申请公开事项6件，同比增长20%，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主要涉及城乡居民参保、医保待遇报销等医保政策信息，均及时依法依规答复。未发生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行政复议、行政诉讼案件。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3.政府信息管理方面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及时更新《淄博市医疗保障局政府信息公开指南》，调整《淄博市医疗保障局2023年政务信息公开目录》，明确全年重点工作和责任分工。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严格规范性文件管理、信息公开保密审查制度，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对拟公开的政府信息依法依规做好保密审查，切实做到“涉密信息不上网、上网信息不涉密”。对本单位制发行政规范性文件及时清理，公开清理结果3条。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4.平台建设方面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根据市政府办公室工作部署，及时调整优化政府信息公开平台栏目设置，增设党务公开专题栏目，</w:t>
      </w:r>
      <w:r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  <w:t>优化信息公开专栏设置，及时更新内容，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不断</w:t>
      </w:r>
      <w:r>
        <w:rPr>
          <w:rFonts w:hint="default" w:ascii="Times New Roman" w:hAnsi="Times New Roman" w:eastAsia="仿宋_GB2312" w:cs="Times New Roman"/>
          <w:sz w:val="32"/>
          <w:szCs w:val="24"/>
        </w:rPr>
        <w:t>提高栏目的规范性</w:t>
      </w:r>
      <w:r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  <w:t>和便捷性</w:t>
      </w:r>
      <w:r>
        <w:rPr>
          <w:rFonts w:hint="default" w:ascii="Times New Roman" w:hAnsi="Times New Roman" w:eastAsia="仿宋_GB2312" w:cs="Times New Roman"/>
          <w:sz w:val="32"/>
          <w:szCs w:val="24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充分发挥政务新媒体推介宣传作用，2023年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官方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公众号发布信息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465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其他各类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媒体发表稿件435余篇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56.5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设立专门政府信息查阅点，接待访客30余人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5.监督保障方面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调整政务公开工作领导小组，明确主要负责同志对政务公开工作负总责，明确市局各科室、市医保中心及市稽核中心确定一名政务公开工作联络员，责任到人；制定发布2023年政务公开培训计划，全年开展专题培训2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11"/>
        <w:tblpPr w:leftFromText="180" w:rightFromText="180" w:vertAnchor="text" w:horzAnchor="page" w:tblpX="1570" w:tblpY="303"/>
        <w:tblOverlap w:val="never"/>
        <w:tblW w:w="9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219"/>
        <w:gridCol w:w="1951"/>
        <w:gridCol w:w="2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15" w:type="dxa"/>
            <w:gridSpan w:val="4"/>
            <w:tcBorders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本年制发件数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废止件数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规范性文件</w:t>
            </w:r>
          </w:p>
        </w:tc>
        <w:tc>
          <w:tcPr>
            <w:tcW w:w="221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51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06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29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4"/>
            <w:tcBorders>
              <w:top w:val="single" w:color="2F5496" w:themeColor="accent5" w:themeShade="BF" w:sz="4" w:space="0"/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015" w:type="dxa"/>
            <w:gridSpan w:val="4"/>
            <w:tcBorders>
              <w:top w:val="single" w:color="2F5496" w:themeColor="accent5" w:themeShade="BF" w:sz="4" w:space="0"/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4"/>
            <w:tcBorders>
              <w:top w:val="single" w:color="2F5496" w:themeColor="accent5" w:themeShade="BF" w:sz="4" w:space="0"/>
              <w:bottom w:val="single" w:color="2F5496" w:themeColor="accent5" w:themeShade="BF" w:sz="4" w:space="0"/>
              <w:tl2br w:val="nil"/>
              <w:tr2bl w:val="nil"/>
            </w:tcBorders>
            <w:shd w:val="clear" w:color="auto" w:fill="2F5496" w:themeFill="accent5" w:themeFillShade="B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本年收费金额（单位： 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行政事业性收费</w:t>
            </w:r>
          </w:p>
        </w:tc>
        <w:tc>
          <w:tcPr>
            <w:tcW w:w="6576" w:type="dxa"/>
            <w:gridSpan w:val="3"/>
            <w:tcBorders>
              <w:top w:val="single" w:color="2F5496" w:themeColor="accent5" w:themeShade="BF" w:sz="4" w:space="0"/>
              <w:left w:val="single" w:color="2F5496" w:themeColor="accent5" w:themeShade="BF" w:sz="4" w:space="0"/>
              <w:bottom w:val="single" w:color="2F5496" w:themeColor="accent5" w:themeShade="BF" w:sz="4" w:space="0"/>
              <w:right w:val="single" w:color="2F5496" w:themeColor="accent5" w:themeShade="BF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</w:t>
            </w:r>
          </w:p>
        </w:tc>
      </w:tr>
    </w:tbl>
    <w:p>
      <w:pPr>
        <w:pStyle w:val="5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9"/>
        <w:tblpPr w:leftFromText="180" w:rightFromText="180" w:vertAnchor="text" w:horzAnchor="page" w:tblpX="1159" w:tblpY="66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929"/>
        <w:gridCol w:w="3828"/>
        <w:gridCol w:w="476"/>
        <w:gridCol w:w="696"/>
        <w:gridCol w:w="711"/>
        <w:gridCol w:w="726"/>
        <w:gridCol w:w="711"/>
        <w:gridCol w:w="447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vMerge w:val="restart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193" w:type="dxa"/>
            <w:gridSpan w:val="7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vMerge w:val="continue"/>
            <w:shd w:val="clear" w:color="auto" w:fill="2F5496" w:themeFill="accent5" w:themeFillShade="B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76" w:type="dxa"/>
            <w:vMerge w:val="restart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自然人</w:t>
            </w:r>
          </w:p>
        </w:tc>
        <w:tc>
          <w:tcPr>
            <w:tcW w:w="3291" w:type="dxa"/>
            <w:gridSpan w:val="5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法人或其他组织</w:t>
            </w:r>
          </w:p>
        </w:tc>
        <w:tc>
          <w:tcPr>
            <w:tcW w:w="426" w:type="dxa"/>
            <w:vMerge w:val="restart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5347" w:type="dxa"/>
            <w:gridSpan w:val="3"/>
            <w:vMerge w:val="continue"/>
            <w:shd w:val="clear" w:color="auto" w:fill="2F5496" w:themeFill="accent5" w:themeFillShade="B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商业企业</w:t>
            </w:r>
          </w:p>
        </w:tc>
        <w:tc>
          <w:tcPr>
            <w:tcW w:w="711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科研机构</w:t>
            </w:r>
          </w:p>
        </w:tc>
        <w:tc>
          <w:tcPr>
            <w:tcW w:w="726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社会公益组织</w:t>
            </w:r>
          </w:p>
        </w:tc>
        <w:tc>
          <w:tcPr>
            <w:tcW w:w="711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法律服务机构</w:t>
            </w:r>
          </w:p>
        </w:tc>
        <w:tc>
          <w:tcPr>
            <w:tcW w:w="447" w:type="dxa"/>
            <w:shd w:val="clear" w:color="auto" w:fill="2F5496" w:themeFill="accent5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其他</w:t>
            </w:r>
          </w:p>
        </w:tc>
        <w:tc>
          <w:tcPr>
            <w:tcW w:w="4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7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1、属于国家秘密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2、其他法律行政法禁止公开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3、危及“三安全一稳定”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4、保护第三方合法权益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5、属于三类内部事务信息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6、属于四类过程性信息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7、属于行政执法案卷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8、属于行政查询事项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1、本机关不掌握相关政府信息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2、没有现成信息需要另行制作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3、补正后申请内容仍不明确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1、信访举报投诉类申请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2、重复申请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3、要求提供公开出版物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4、无正当理由大量反复申请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5、要求行政机关确认或重新出具已获取信息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1、申请人无正当理由逾期不补正、行政机关不再处理其政府信息公开申请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2、申请人逾期未按收费通知要求缴纳费用、行政机关不再处理其政府信息公开申请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3、其他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347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4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10"/>
        <w:tblW w:w="9600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690"/>
        <w:gridCol w:w="720"/>
        <w:gridCol w:w="651"/>
        <w:gridCol w:w="568"/>
        <w:gridCol w:w="701"/>
        <w:gridCol w:w="735"/>
        <w:gridCol w:w="645"/>
        <w:gridCol w:w="690"/>
        <w:gridCol w:w="480"/>
        <w:gridCol w:w="645"/>
        <w:gridCol w:w="735"/>
        <w:gridCol w:w="645"/>
        <w:gridCol w:w="690"/>
        <w:gridCol w:w="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276" w:type="dxa"/>
            <w:gridSpan w:val="5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行政复议</w:t>
            </w:r>
          </w:p>
        </w:tc>
        <w:tc>
          <w:tcPr>
            <w:tcW w:w="6324" w:type="dxa"/>
            <w:gridSpan w:val="10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结果维持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结果纠正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其他结果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总计</w:t>
            </w:r>
          </w:p>
        </w:tc>
        <w:tc>
          <w:tcPr>
            <w:tcW w:w="325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未经复议直接起诉</w:t>
            </w:r>
          </w:p>
        </w:tc>
        <w:tc>
          <w:tcPr>
            <w:tcW w:w="30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结果维持</w:t>
            </w:r>
          </w:p>
        </w:tc>
        <w:tc>
          <w:tcPr>
            <w:tcW w:w="73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结果纠正</w:t>
            </w:r>
          </w:p>
        </w:tc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其他结果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尚未审结</w:t>
            </w:r>
          </w:p>
        </w:tc>
        <w:tc>
          <w:tcPr>
            <w:tcW w:w="480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总计</w:t>
            </w:r>
          </w:p>
        </w:tc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结果维持</w:t>
            </w:r>
          </w:p>
        </w:tc>
        <w:tc>
          <w:tcPr>
            <w:tcW w:w="73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结果纠正</w:t>
            </w:r>
          </w:p>
        </w:tc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其他结果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尚未审结</w:t>
            </w:r>
          </w:p>
        </w:tc>
        <w:tc>
          <w:tcPr>
            <w:tcW w:w="358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在信息公开取得积极进展的同时，也存在一些问题。比如：在常态化邀请利益相关方、公众代表、专家等列席办公会议次数较少；政策解读形式比较单一；主动公开目录处罚强制信息未明确公开时限要求等。针对上述问题，主动分析问题原因，并针对性制定整改措施。加大常态化邀请利益相关方、公众代表、专家等列席办公会议力度；加大政策解读力度，不断创新解读形式；不断完善主动公开目录，进一步明确公开内容的公开时限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  <w:t>一是收取信息处理费用情况。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2023年，市医保局无收取信息处理费情况。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  <w:t>二是人大建议政协提案办理情况。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2023年，市医保局共承办市人大代表建议、市政协委员提案13件，其中市人大代表建议2件，市政协委员提案11件；主办9件，会办4件。建议提案的办复率达到100%，沟通率达到100%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  <w:t>三是政务公开工作创新情况。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不断优化部门网站功能,在网站首页增添“智能咨询”对话框，积极推“医保网上服务大厅”功能应用，实时更新《淄博医疗保障经办政务服务事项清单》，并通过设置二维码的形式方便群众直接查看详细内容，推动医保业务“网上办”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“掌上办”。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  <w:t>四是政务公开工作要点落实情况。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严格按照新时期政务公开工作要求，我局制定了《淄博市医疗保障局2023年政务公开工作实施方案》、《淄博市医疗保障局2023年政务公开重点工作任务分解表》，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将32项任务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细化分工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明确列出工作任务、具体要求，并将责任分工到具体科室单位。目前，我局各项政务公开任务均落实到位。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淄博市医疗保障局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2024年1月22日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5A4C3B"/>
    <w:multiLevelType w:val="singleLevel"/>
    <w:tmpl w:val="A95A4C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3040E"/>
    <w:rsid w:val="005D6A33"/>
    <w:rsid w:val="01903B77"/>
    <w:rsid w:val="024C5EA1"/>
    <w:rsid w:val="02A448E9"/>
    <w:rsid w:val="0B4460C6"/>
    <w:rsid w:val="0B735705"/>
    <w:rsid w:val="0EBF386E"/>
    <w:rsid w:val="119F7D96"/>
    <w:rsid w:val="132815F8"/>
    <w:rsid w:val="19826EE1"/>
    <w:rsid w:val="1AAB2CBE"/>
    <w:rsid w:val="1AE415F8"/>
    <w:rsid w:val="1B49710A"/>
    <w:rsid w:val="22CA3A91"/>
    <w:rsid w:val="22E65511"/>
    <w:rsid w:val="27BD6D7E"/>
    <w:rsid w:val="2B651D39"/>
    <w:rsid w:val="2BB0056C"/>
    <w:rsid w:val="2EEA58C1"/>
    <w:rsid w:val="2F360A97"/>
    <w:rsid w:val="30013F5E"/>
    <w:rsid w:val="32E424FA"/>
    <w:rsid w:val="331F032F"/>
    <w:rsid w:val="366B570E"/>
    <w:rsid w:val="3B0D4615"/>
    <w:rsid w:val="3E0C5780"/>
    <w:rsid w:val="3E9267E0"/>
    <w:rsid w:val="3EF85D77"/>
    <w:rsid w:val="3F165570"/>
    <w:rsid w:val="40A7757A"/>
    <w:rsid w:val="43156EA9"/>
    <w:rsid w:val="44170AB3"/>
    <w:rsid w:val="46233FBC"/>
    <w:rsid w:val="46AE39F2"/>
    <w:rsid w:val="482332DC"/>
    <w:rsid w:val="493B719C"/>
    <w:rsid w:val="4A8407C8"/>
    <w:rsid w:val="4EAE6B2E"/>
    <w:rsid w:val="4F3E5FFB"/>
    <w:rsid w:val="51046B9A"/>
    <w:rsid w:val="535311B6"/>
    <w:rsid w:val="54207661"/>
    <w:rsid w:val="5673040E"/>
    <w:rsid w:val="57404470"/>
    <w:rsid w:val="58613E27"/>
    <w:rsid w:val="5A07179A"/>
    <w:rsid w:val="5A2E5FDA"/>
    <w:rsid w:val="60DE1A66"/>
    <w:rsid w:val="60E250F5"/>
    <w:rsid w:val="62895CCF"/>
    <w:rsid w:val="640B1A7B"/>
    <w:rsid w:val="647E2410"/>
    <w:rsid w:val="69934E7C"/>
    <w:rsid w:val="69FA4541"/>
    <w:rsid w:val="6ABA3410"/>
    <w:rsid w:val="71473C4D"/>
    <w:rsid w:val="765F19D3"/>
    <w:rsid w:val="768279D8"/>
    <w:rsid w:val="7E1306A5"/>
    <w:rsid w:val="7E4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eastAsia="仿宋_GB231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Body Text First Indent"/>
    <w:basedOn w:val="5"/>
    <w:qFormat/>
    <w:uiPriority w:val="0"/>
    <w:pPr>
      <w:ind w:firstLine="420" w:firstLineChars="1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olumns 2"/>
    <w:basedOn w:val="9"/>
    <w:qFormat/>
    <w:uiPriority w:val="0"/>
    <w:pPr>
      <w:widowControl w:val="0"/>
      <w:jc w:val="both"/>
    </w:pPr>
    <w:rPr>
      <w:b/>
      <w:bCs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  <w:rPr>
      <w:b/>
      <w:bCs/>
    </w:rPr>
  </w:style>
  <w:style w:type="character" w:styleId="16">
    <w:name w:val="HTML Definition"/>
    <w:basedOn w:val="12"/>
    <w:qFormat/>
    <w:uiPriority w:val="0"/>
  </w:style>
  <w:style w:type="character" w:styleId="17">
    <w:name w:val="HTML Variable"/>
    <w:basedOn w:val="12"/>
    <w:qFormat/>
    <w:uiPriority w:val="0"/>
  </w:style>
  <w:style w:type="character" w:styleId="18">
    <w:name w:val="Hyperlink"/>
    <w:basedOn w:val="12"/>
    <w:qFormat/>
    <w:uiPriority w:val="0"/>
    <w:rPr>
      <w:color w:val="0000FF"/>
      <w:u w:val="none"/>
    </w:rPr>
  </w:style>
  <w:style w:type="character" w:styleId="19">
    <w:name w:val="HTML Code"/>
    <w:basedOn w:val="12"/>
    <w:qFormat/>
    <w:uiPriority w:val="0"/>
    <w:rPr>
      <w:rFonts w:ascii="Courier New" w:hAnsi="Courier New"/>
      <w:sz w:val="20"/>
      <w:bdr w:val="single" w:color="auto" w:sz="6" w:space="0"/>
      <w:shd w:val="clear" w:fill="FFFFFF"/>
    </w:rPr>
  </w:style>
  <w:style w:type="character" w:styleId="20">
    <w:name w:val="HTML Cite"/>
    <w:basedOn w:val="12"/>
    <w:qFormat/>
    <w:uiPriority w:val="0"/>
  </w:style>
  <w:style w:type="character" w:styleId="21">
    <w:name w:val="HTML Keyboard"/>
    <w:basedOn w:val="12"/>
    <w:qFormat/>
    <w:uiPriority w:val="0"/>
    <w:rPr>
      <w:rFonts w:ascii="Courier New" w:hAnsi="Courier New"/>
      <w:color w:val="666666"/>
      <w:sz w:val="18"/>
      <w:szCs w:val="18"/>
    </w:rPr>
  </w:style>
  <w:style w:type="character" w:styleId="22">
    <w:name w:val="HTML Sample"/>
    <w:basedOn w:val="12"/>
    <w:qFormat/>
    <w:uiPriority w:val="0"/>
    <w:rPr>
      <w:rFonts w:ascii="Courier New" w:hAnsi="Courier New"/>
    </w:rPr>
  </w:style>
  <w:style w:type="paragraph" w:customStyle="1" w:styleId="23">
    <w:name w:val="样式 首行缩进:  2 字符"/>
    <w:basedOn w:val="24"/>
    <w:qFormat/>
    <w:uiPriority w:val="99"/>
    <w:pPr>
      <w:ind w:firstLine="560"/>
    </w:pPr>
    <w:rPr>
      <w:rFonts w:ascii="Times New Roman" w:hAnsi="Times New Roman" w:eastAsia="仿宋_GB2312" w:cs="宋体"/>
      <w:sz w:val="24"/>
      <w:szCs w:val="20"/>
    </w:rPr>
  </w:style>
  <w:style w:type="paragraph" w:customStyle="1" w:styleId="24">
    <w:name w:val="正文 New New New New New New New New New New New New New New New New New New New"/>
    <w:next w:val="23"/>
    <w:qFormat/>
    <w:uiPriority w:val="0"/>
    <w:pPr>
      <w:widowControl w:val="0"/>
      <w:spacing w:line="560" w:lineRule="exact"/>
      <w:jc w:val="both"/>
    </w:pPr>
    <w:rPr>
      <w:rFonts w:ascii="Calibri" w:hAnsi="Calibri" w:eastAsia="宋体" w:cs="黑体"/>
      <w:kern w:val="2"/>
      <w:sz w:val="3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2023-02-01T00:51:00Z</dcterms:created>
  <dc:creator>珊</dc:creator>
  <cp:lastModifiedBy>Administrator</cp:lastModifiedBy>
  <dcterms:modified xsi:type="dcterms:W3CDTF">2024-02-01T02:56:16Z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DEBB3515F6AD4A6A8AB2478C25F5F486</vt:lpwstr>
  </property>
</Properties>
</file>